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84" w:rsidRDefault="006C1684" w:rsidP="006C1684">
      <w:pPr>
        <w:spacing w:line="360" w:lineRule="auto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许昌市发展和改革委员会</w:t>
      </w:r>
    </w:p>
    <w:p w:rsidR="006C1684" w:rsidRDefault="006C1684" w:rsidP="006C1684">
      <w:pPr>
        <w:spacing w:line="360" w:lineRule="auto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行政处罚决定书</w:t>
      </w:r>
    </w:p>
    <w:p w:rsidR="006C1684" w:rsidRPr="006A7F53" w:rsidRDefault="006C1684" w:rsidP="006C1684">
      <w:pPr>
        <w:spacing w:line="360" w:lineRule="auto"/>
        <w:jc w:val="center"/>
        <w:rPr>
          <w:rFonts w:asciiTheme="majorEastAsia" w:eastAsiaTheme="majorEastAsia" w:hAnsiTheme="majorEastAsia" w:cs="宋体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许发改价检罚决字[2019]第</w:t>
      </w:r>
      <w:r w:rsidR="004B6A9F">
        <w:rPr>
          <w:rFonts w:asciiTheme="majorEastAsia" w:eastAsiaTheme="majorEastAsia" w:hAnsiTheme="majorEastAsia" w:cs="宋体" w:hint="eastAsia"/>
          <w:sz w:val="36"/>
          <w:szCs w:val="36"/>
        </w:rPr>
        <w:t>05</w:t>
      </w: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号</w:t>
      </w:r>
    </w:p>
    <w:p w:rsidR="006C1684" w:rsidRPr="006A7F53" w:rsidRDefault="006C1684" w:rsidP="006A7F53">
      <w:pPr>
        <w:spacing w:line="360" w:lineRule="auto"/>
        <w:ind w:firstLineChars="200" w:firstLine="723"/>
        <w:jc w:val="left"/>
        <w:rPr>
          <w:rFonts w:asciiTheme="majorEastAsia" w:eastAsiaTheme="majorEastAsia" w:hAnsiTheme="majorEastAsia" w:cs="宋体"/>
          <w:bCs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b/>
          <w:sz w:val="36"/>
          <w:szCs w:val="36"/>
        </w:rPr>
        <w:t>一、</w:t>
      </w:r>
      <w:r w:rsidRPr="006A7F53">
        <w:rPr>
          <w:rFonts w:asciiTheme="majorEastAsia" w:eastAsiaTheme="majorEastAsia" w:hAnsiTheme="majorEastAsia" w:cs="宋体" w:hint="eastAsia"/>
          <w:bCs/>
          <w:sz w:val="36"/>
          <w:szCs w:val="36"/>
        </w:rPr>
        <w:t>当事人基本情况：</w:t>
      </w:r>
    </w:p>
    <w:p w:rsidR="006C1684" w:rsidRPr="006A7F53" w:rsidRDefault="006C1684" w:rsidP="006C1684">
      <w:pPr>
        <w:spacing w:line="360" w:lineRule="auto"/>
        <w:jc w:val="left"/>
        <w:rPr>
          <w:rFonts w:asciiTheme="majorEastAsia" w:eastAsiaTheme="majorEastAsia" w:hAnsiTheme="majorEastAsia" w:cs="宋体"/>
          <w:sz w:val="36"/>
          <w:szCs w:val="36"/>
          <w:u w:val="single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单位名称：许昌亨源</w:t>
      </w:r>
      <w:proofErr w:type="gramStart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通商业</w:t>
      </w:r>
      <w:proofErr w:type="gramEnd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管理有限公司</w:t>
      </w:r>
    </w:p>
    <w:p w:rsidR="006C1684" w:rsidRDefault="006C1684" w:rsidP="006C1684">
      <w:pPr>
        <w:spacing w:line="360" w:lineRule="auto"/>
        <w:jc w:val="left"/>
        <w:rPr>
          <w:rFonts w:asciiTheme="majorEastAsia" w:eastAsiaTheme="majorEastAsia" w:hAnsiTheme="majorEastAsia" w:cs="宋体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统一社会信用代码：91411000097050329J</w:t>
      </w:r>
    </w:p>
    <w:p w:rsidR="00076DA2" w:rsidRPr="006A7F53" w:rsidRDefault="00076DA2" w:rsidP="00076DA2">
      <w:pPr>
        <w:spacing w:line="360" w:lineRule="auto"/>
        <w:ind w:firstLineChars="1450" w:firstLine="5220"/>
        <w:jc w:val="left"/>
        <w:rPr>
          <w:rFonts w:asciiTheme="majorEastAsia" w:eastAsiaTheme="majorEastAsia" w:hAnsiTheme="majorEastAsia" w:cs="宋体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sz w:val="36"/>
          <w:szCs w:val="36"/>
        </w:rPr>
        <w:t>（1</w:t>
      </w:r>
      <w:r>
        <w:rPr>
          <w:rFonts w:asciiTheme="majorEastAsia" w:eastAsiaTheme="majorEastAsia" w:hAnsiTheme="majorEastAsia" w:cs="宋体"/>
          <w:sz w:val="36"/>
          <w:szCs w:val="36"/>
        </w:rPr>
        <w:t>—</w:t>
      </w:r>
      <w:r>
        <w:rPr>
          <w:rFonts w:asciiTheme="majorEastAsia" w:eastAsiaTheme="majorEastAsia" w:hAnsiTheme="majorEastAsia" w:cs="宋体" w:hint="eastAsia"/>
          <w:sz w:val="36"/>
          <w:szCs w:val="36"/>
        </w:rPr>
        <w:t>1）</w:t>
      </w:r>
    </w:p>
    <w:p w:rsidR="006C1684" w:rsidRPr="006A7F53" w:rsidRDefault="006C1684" w:rsidP="006C1684">
      <w:pPr>
        <w:spacing w:line="360" w:lineRule="auto"/>
        <w:jc w:val="left"/>
        <w:rPr>
          <w:rFonts w:asciiTheme="majorEastAsia" w:eastAsiaTheme="majorEastAsia" w:hAnsiTheme="majorEastAsia" w:cs="宋体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法定代表人：韩建伟</w:t>
      </w:r>
    </w:p>
    <w:p w:rsidR="006C1684" w:rsidRPr="006A7F53" w:rsidRDefault="006C1684" w:rsidP="006C1684">
      <w:pPr>
        <w:spacing w:line="360" w:lineRule="auto"/>
        <w:jc w:val="left"/>
        <w:rPr>
          <w:rFonts w:asciiTheme="majorEastAsia" w:eastAsiaTheme="majorEastAsia" w:hAnsiTheme="majorEastAsia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地址：</w:t>
      </w:r>
      <w:r w:rsidRPr="006A7F53">
        <w:rPr>
          <w:rFonts w:asciiTheme="majorEastAsia" w:eastAsiaTheme="majorEastAsia" w:hAnsiTheme="majorEastAsia" w:hint="eastAsia"/>
          <w:sz w:val="36"/>
          <w:szCs w:val="36"/>
        </w:rPr>
        <w:t>许昌市莲城大道与智慧大道</w:t>
      </w:r>
      <w:proofErr w:type="gramStart"/>
      <w:r w:rsidRPr="006A7F53">
        <w:rPr>
          <w:rFonts w:asciiTheme="majorEastAsia" w:eastAsiaTheme="majorEastAsia" w:hAnsiTheme="majorEastAsia" w:hint="eastAsia"/>
          <w:sz w:val="36"/>
          <w:szCs w:val="36"/>
        </w:rPr>
        <w:t>交汇处亨源</w:t>
      </w:r>
      <w:proofErr w:type="gramEnd"/>
      <w:r w:rsidRPr="006A7F53">
        <w:rPr>
          <w:rFonts w:asciiTheme="majorEastAsia" w:eastAsiaTheme="majorEastAsia" w:hAnsiTheme="majorEastAsia" w:hint="eastAsia"/>
          <w:sz w:val="36"/>
          <w:szCs w:val="36"/>
        </w:rPr>
        <w:t>通世纪广场</w:t>
      </w:r>
    </w:p>
    <w:p w:rsidR="006C1684" w:rsidRPr="00076DA2" w:rsidRDefault="006C1684" w:rsidP="006C1684">
      <w:pPr>
        <w:spacing w:line="360" w:lineRule="auto"/>
        <w:jc w:val="left"/>
        <w:rPr>
          <w:rFonts w:asciiTheme="majorEastAsia" w:eastAsiaTheme="majorEastAsia" w:hAnsiTheme="majorEastAsia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 xml:space="preserve">   </w:t>
      </w:r>
      <w:r w:rsidR="00076DA2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本机关于2018年10月22日对许昌亨源</w:t>
      </w:r>
      <w:proofErr w:type="gramStart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通商业</w:t>
      </w:r>
      <w:proofErr w:type="gramEnd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管理有限公司涉嫌未按规定明码标价一案立案调查。</w:t>
      </w:r>
    </w:p>
    <w:p w:rsidR="006C1684" w:rsidRPr="006A7F53" w:rsidRDefault="006C1684" w:rsidP="006A7F53">
      <w:pPr>
        <w:numPr>
          <w:ilvl w:val="0"/>
          <w:numId w:val="1"/>
        </w:numPr>
        <w:spacing w:line="360" w:lineRule="auto"/>
        <w:ind w:firstLineChars="200" w:firstLine="720"/>
        <w:jc w:val="left"/>
        <w:rPr>
          <w:rFonts w:asciiTheme="majorEastAsia" w:eastAsiaTheme="majorEastAsia" w:hAnsiTheme="majorEastAsia" w:cs="宋体"/>
          <w:bCs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bCs/>
          <w:sz w:val="36"/>
          <w:szCs w:val="36"/>
        </w:rPr>
        <w:t>违法事实和证据</w:t>
      </w:r>
    </w:p>
    <w:p w:rsidR="006C1684" w:rsidRPr="006A7F53" w:rsidRDefault="006C1684" w:rsidP="006A7F53">
      <w:pPr>
        <w:spacing w:line="360" w:lineRule="auto"/>
        <w:ind w:firstLineChars="200" w:firstLine="720"/>
        <w:rPr>
          <w:rFonts w:asciiTheme="majorEastAsia" w:eastAsiaTheme="majorEastAsia" w:hAnsiTheme="majorEastAsia" w:cs="宋体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根据许</w:t>
      </w:r>
      <w:proofErr w:type="gramStart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发改价举</w:t>
      </w:r>
      <w:proofErr w:type="gramEnd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[2018]54号、[2018]55号举报件举报内容，我委指派检查组于2018年10月12日至2018年12月10日对你商场超市烟酒专柜的价格行为进行了检查。经现场检查，“古井贡酒年份原浆（八）”和“汾酒青花（二十）53度”酒标价签标示品名与商品包装品名一致。但举报人提供的2018年7月11日在你商场超市烟酒专柜购买的该商品的购物小票和发票显示，商品包装品名为“古井贡酒年份原浆（八）”而标价签标示品名为“古井贡酒年份原浆（八年）” 、</w:t>
      </w: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lastRenderedPageBreak/>
        <w:t>商品包装品名为“汾酒青花（二十）53度”而标价签标示品名为“汾酒二十年青花53度”。你商场提供的“汾酒20、古井8标价签和实物不符的情况说明”、以及该商品的新、老包装图片，证明该商品在新老包装更替过程中，没有及时更换标价签，造成标价签标示品名与商品包装品名不一致。</w:t>
      </w:r>
    </w:p>
    <w:p w:rsidR="006C1684" w:rsidRPr="006A7F53" w:rsidRDefault="006C1684" w:rsidP="006A7F53">
      <w:pPr>
        <w:spacing w:line="360" w:lineRule="auto"/>
        <w:ind w:firstLineChars="200" w:firstLine="720"/>
        <w:rPr>
          <w:rFonts w:asciiTheme="majorEastAsia" w:eastAsiaTheme="majorEastAsia" w:hAnsiTheme="majorEastAsia" w:cs="宋体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上述违法事实有以下证据：</w:t>
      </w:r>
    </w:p>
    <w:p w:rsidR="006C1684" w:rsidRPr="006A7F53" w:rsidRDefault="006C1684" w:rsidP="006A7F53">
      <w:pPr>
        <w:numPr>
          <w:ilvl w:val="0"/>
          <w:numId w:val="2"/>
        </w:numPr>
        <w:spacing w:line="360" w:lineRule="auto"/>
        <w:ind w:firstLineChars="200" w:firstLine="720"/>
        <w:rPr>
          <w:rFonts w:asciiTheme="majorEastAsia" w:eastAsiaTheme="majorEastAsia" w:hAnsiTheme="majorEastAsia" w:cs="宋体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举报人提供的购物小票和发票以及该商品和标价签照片；</w:t>
      </w:r>
    </w:p>
    <w:p w:rsidR="006C1684" w:rsidRPr="006A7F53" w:rsidRDefault="006C1684" w:rsidP="006A7F53">
      <w:pPr>
        <w:numPr>
          <w:ilvl w:val="0"/>
          <w:numId w:val="2"/>
        </w:numPr>
        <w:spacing w:line="360" w:lineRule="auto"/>
        <w:ind w:firstLineChars="200" w:firstLine="720"/>
        <w:rPr>
          <w:rFonts w:asciiTheme="majorEastAsia" w:eastAsiaTheme="majorEastAsia" w:hAnsiTheme="majorEastAsia" w:cs="宋体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你商场提供的汾酒20、古井8标价签和实物不符的情况说明及询问笔录。</w:t>
      </w:r>
    </w:p>
    <w:p w:rsidR="006C1684" w:rsidRPr="006A7F53" w:rsidRDefault="006C1684" w:rsidP="006A7F53">
      <w:pPr>
        <w:tabs>
          <w:tab w:val="left" w:pos="2565"/>
        </w:tabs>
        <w:spacing w:line="360" w:lineRule="auto"/>
        <w:ind w:firstLineChars="200" w:firstLine="720"/>
        <w:rPr>
          <w:rFonts w:asciiTheme="majorEastAsia" w:eastAsiaTheme="majorEastAsia" w:hAnsiTheme="majorEastAsia" w:cs="宋体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你单位提供的营业执照证明你单位是企业法人，单位名称是许昌亨源</w:t>
      </w:r>
      <w:proofErr w:type="gramStart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通商业</w:t>
      </w:r>
      <w:proofErr w:type="gramEnd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管理有限公司。</w:t>
      </w:r>
    </w:p>
    <w:p w:rsidR="006C1684" w:rsidRPr="006A7F53" w:rsidRDefault="006C1684" w:rsidP="006A7F53">
      <w:pPr>
        <w:snapToGrid w:val="0"/>
        <w:spacing w:line="360" w:lineRule="auto"/>
        <w:ind w:firstLineChars="200" w:firstLine="720"/>
        <w:rPr>
          <w:rFonts w:asciiTheme="majorEastAsia" w:eastAsiaTheme="majorEastAsia" w:hAnsiTheme="majorEastAsia" w:cs="宋体"/>
          <w:bCs/>
          <w:kern w:val="32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bCs/>
          <w:kern w:val="32"/>
          <w:sz w:val="36"/>
          <w:szCs w:val="36"/>
        </w:rPr>
        <w:t>三、你单位陈述、申辩和听证情况</w:t>
      </w:r>
    </w:p>
    <w:p w:rsidR="006C1684" w:rsidRPr="006A7F53" w:rsidRDefault="006C1684" w:rsidP="006A7F53">
      <w:pPr>
        <w:spacing w:line="360" w:lineRule="auto"/>
        <w:ind w:firstLineChars="200" w:firstLine="720"/>
        <w:rPr>
          <w:rFonts w:asciiTheme="majorEastAsia" w:eastAsiaTheme="majorEastAsia" w:hAnsiTheme="majorEastAsia" w:cs="宋体"/>
          <w:bCs/>
          <w:color w:val="000000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本机关于2019年1月18日依法向你单位送达了《行政处罚事先告知书》（许</w:t>
      </w:r>
      <w:proofErr w:type="gramStart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发改价检罚先</w:t>
      </w:r>
      <w:proofErr w:type="gramEnd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告字[2019]第05号），告知你单位享有陈述、申辩或听证的权利。你单位逾期未陈述、申辩，视为自行放弃陈述、申辩的权利。</w:t>
      </w:r>
    </w:p>
    <w:p w:rsidR="006C1684" w:rsidRPr="006A7F53" w:rsidRDefault="006C1684" w:rsidP="006A7F53">
      <w:pPr>
        <w:spacing w:line="360" w:lineRule="auto"/>
        <w:ind w:firstLineChars="200" w:firstLine="720"/>
        <w:rPr>
          <w:rFonts w:asciiTheme="majorEastAsia" w:eastAsiaTheme="majorEastAsia" w:hAnsiTheme="majorEastAsia" w:cs="宋体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四、行政处罚依据</w:t>
      </w:r>
    </w:p>
    <w:p w:rsidR="006C1684" w:rsidRPr="006A7F53" w:rsidRDefault="006C1684" w:rsidP="006A7F53">
      <w:pPr>
        <w:pStyle w:val="a3"/>
        <w:spacing w:line="360" w:lineRule="auto"/>
        <w:ind w:firstLineChars="200" w:firstLine="720"/>
        <w:rPr>
          <w:rFonts w:asciiTheme="majorEastAsia" w:eastAsiaTheme="majorEastAsia" w:hAnsiTheme="majorEastAsia" w:cs="宋体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本机关认为，你单位的上述行为违反了《中华人民共和国价格法》第十三条“经营者销售、收购商品</w:t>
      </w: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lastRenderedPageBreak/>
        <w:t>和提供服务，应当按照政府价格主管部门的规定明码标价，注明商品的品名、产地、规格、等级、计价单位、价格或者服务的项目、收费标准等有关情况”的规定，属于《价格违法行为行政处罚规定》第十三条第（二）项“不按照规定的内容和方式明码标价的”价格违法行为。根据你单位的上述违法事实、性质、情节、社会危害程度和证据以及在</w:t>
      </w:r>
      <w:proofErr w:type="gramStart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我机关</w:t>
      </w:r>
      <w:proofErr w:type="gramEnd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检查时已经改正的情节，你单位的价格违法行为符合《规范价格行政处罚权的若干规定》(</w:t>
      </w:r>
      <w:proofErr w:type="gramStart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发改价监</w:t>
      </w:r>
      <w:proofErr w:type="gramEnd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〔2014〕1223号)第七条“</w:t>
      </w:r>
      <w:r w:rsidRPr="006A7F53">
        <w:rPr>
          <w:rFonts w:asciiTheme="majorEastAsia" w:eastAsiaTheme="majorEastAsia" w:hAnsiTheme="majorEastAsia" w:cs="宋体" w:hint="eastAsia"/>
          <w:color w:val="333333"/>
          <w:sz w:val="36"/>
          <w:szCs w:val="36"/>
          <w:shd w:val="clear" w:color="auto" w:fill="FFFFFF"/>
        </w:rPr>
        <w:t>当事人有下列情形之一的，可以从轻处罚：（二）能够及时改正价格违法行为的”之</w:t>
      </w: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规定。</w:t>
      </w:r>
    </w:p>
    <w:p w:rsidR="006C1684" w:rsidRPr="006A7F53" w:rsidRDefault="006C1684" w:rsidP="006A7F53">
      <w:pPr>
        <w:pStyle w:val="a3"/>
        <w:spacing w:line="360" w:lineRule="auto"/>
        <w:ind w:firstLineChars="200" w:firstLine="720"/>
        <w:rPr>
          <w:rFonts w:asciiTheme="majorEastAsia" w:eastAsiaTheme="majorEastAsia" w:hAnsiTheme="majorEastAsia" w:cs="宋体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根据《中华人民共和国价格法》第四十二条“经营者违反明码标价规定的，责令整改，没收违法所得，可以并处五千元以下的罚款”、《价格违法行为行政处罚规定》第十三条“经营者违反明码标价规定，有下列行为之一的，责令改正，没收违法所得，可以并处5000元以下的罚款：（一）不标明价格的；（二）不按照规定的内容和方式明码标价的；（三）在标价之外加价出售商品或者收取未标明的费用的；（四）违反明码标价规定的其他行为。”以及国家发展和改革委员会《规范价格行政处罚权的若干规定》(</w:t>
      </w:r>
      <w:proofErr w:type="gramStart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发改价监</w:t>
      </w:r>
      <w:proofErr w:type="gramEnd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〔2014〕1223号)第十二条 “对《价格法》、《价格违法行为行</w:t>
      </w: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lastRenderedPageBreak/>
        <w:t>政处罚规定》规定一定幅度范围的罚款处罚，价格主管部门应当按照以下标准确定从轻处罚、一般处罚、从重处罚的罚款幅度：”第（四）项：“《价格法》、《价格违法行为行政处罚规定》规定处最高数额以下罚款的，从轻处罚应当低于最高数额的40%，一般处罚应当为最高数额的40%至60%，从重处罚应当高于最高数额的60%”之规定，经研究，依法对你单位</w:t>
      </w:r>
      <w:proofErr w:type="gramStart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作出</w:t>
      </w:r>
      <w:proofErr w:type="gramEnd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罚款1000元的行政处罚。</w:t>
      </w:r>
    </w:p>
    <w:p w:rsidR="006C1684" w:rsidRPr="006A7F53" w:rsidRDefault="006C1684" w:rsidP="006A7F53">
      <w:pPr>
        <w:spacing w:line="360" w:lineRule="auto"/>
        <w:ind w:firstLineChars="200" w:firstLine="720"/>
        <w:rPr>
          <w:rFonts w:asciiTheme="majorEastAsia" w:eastAsiaTheme="majorEastAsia" w:hAnsiTheme="majorEastAsia" w:cs="宋体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五、履行行政处罚决定的方式和期限</w:t>
      </w:r>
    </w:p>
    <w:p w:rsidR="006C1684" w:rsidRPr="006A7F53" w:rsidRDefault="006C1684" w:rsidP="006A7F53">
      <w:pPr>
        <w:spacing w:line="360" w:lineRule="auto"/>
        <w:ind w:firstLineChars="200" w:firstLine="720"/>
        <w:rPr>
          <w:rFonts w:asciiTheme="majorEastAsia" w:eastAsiaTheme="majorEastAsia" w:hAnsiTheme="majorEastAsia" w:cs="宋体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本处罚决定自送达之日起生效。限你单位自收到本处罚决定书之日起十五日内，将罚款</w:t>
      </w:r>
      <w:proofErr w:type="gramStart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1000元缴至中原</w:t>
      </w:r>
      <w:proofErr w:type="gramEnd"/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银行前进路支行，收款人：许昌市非税收入管理处（账号:0124010117100023015）。</w:t>
      </w:r>
    </w:p>
    <w:p w:rsidR="006C1684" w:rsidRPr="006A7F53" w:rsidRDefault="006C1684" w:rsidP="006A7F53">
      <w:pPr>
        <w:spacing w:line="360" w:lineRule="auto"/>
        <w:ind w:firstLineChars="200" w:firstLine="720"/>
        <w:rPr>
          <w:rFonts w:asciiTheme="majorEastAsia" w:eastAsiaTheme="majorEastAsia" w:hAnsiTheme="majorEastAsia" w:cs="宋体"/>
          <w:bCs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bCs/>
          <w:sz w:val="36"/>
          <w:szCs w:val="36"/>
        </w:rPr>
        <w:t>六、加处罚款告知</w:t>
      </w:r>
    </w:p>
    <w:p w:rsidR="006C1684" w:rsidRPr="006A7F53" w:rsidRDefault="006C1684" w:rsidP="006A7F53">
      <w:pPr>
        <w:spacing w:line="360" w:lineRule="auto"/>
        <w:ind w:firstLineChars="150" w:firstLine="540"/>
        <w:rPr>
          <w:rFonts w:asciiTheme="majorEastAsia" w:eastAsiaTheme="majorEastAsia" w:hAnsiTheme="majorEastAsia" w:cs="宋体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根据《价格违法行为行政处罚规定》第二十一条的规定，逾期未缴纳罚款、违法所得的，本机关将每日按照罚款数额的3%加处罚款。</w:t>
      </w:r>
    </w:p>
    <w:p w:rsidR="006C1684" w:rsidRPr="006A7F53" w:rsidRDefault="006C1684" w:rsidP="006A7F53">
      <w:pPr>
        <w:spacing w:line="360" w:lineRule="auto"/>
        <w:ind w:firstLineChars="200" w:firstLine="720"/>
        <w:rPr>
          <w:rFonts w:asciiTheme="majorEastAsia" w:eastAsiaTheme="majorEastAsia" w:hAnsiTheme="majorEastAsia" w:cs="宋体"/>
          <w:bCs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bCs/>
          <w:sz w:val="36"/>
          <w:szCs w:val="36"/>
        </w:rPr>
        <w:t>七、权利救济途径告知</w:t>
      </w:r>
    </w:p>
    <w:p w:rsidR="006C1684" w:rsidRPr="006A7F53" w:rsidRDefault="006C1684" w:rsidP="006A7F53">
      <w:pPr>
        <w:spacing w:line="360" w:lineRule="auto"/>
        <w:ind w:firstLineChars="150" w:firstLine="540"/>
        <w:rPr>
          <w:rFonts w:asciiTheme="majorEastAsia" w:eastAsiaTheme="majorEastAsia" w:hAnsiTheme="majorEastAsia" w:cs="宋体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你单位如对本处罚决定不服，可以自收到本处罚决定书之日起60日内向许昌市人民政府或者河南省市场监督管理局申请行政复议，同时将复议申请书副本送达许昌市发展和改革委员会（许昌市价格监督检查</w:t>
      </w: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lastRenderedPageBreak/>
        <w:t>局）。</w:t>
      </w:r>
      <w:r w:rsidRPr="006A7F53">
        <w:rPr>
          <w:rFonts w:asciiTheme="majorEastAsia" w:eastAsiaTheme="majorEastAsia" w:hAnsiTheme="majorEastAsia"/>
          <w:sz w:val="36"/>
          <w:szCs w:val="36"/>
        </w:rPr>
        <w:t>对行政复议决定不服的，可以在收到复议决定书之日起15日内向人民法院提起诉讼。</w:t>
      </w: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行政复议期间本处罚决定不停止执行。</w:t>
      </w:r>
    </w:p>
    <w:p w:rsidR="006C1684" w:rsidRPr="006A7F53" w:rsidRDefault="006C1684" w:rsidP="006C1684">
      <w:pPr>
        <w:spacing w:line="360" w:lineRule="auto"/>
        <w:ind w:firstLine="645"/>
        <w:jc w:val="left"/>
        <w:rPr>
          <w:rFonts w:asciiTheme="majorEastAsia" w:eastAsiaTheme="majorEastAsia" w:hAnsiTheme="majorEastAsia" w:cs="宋体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逾期不申请行政复议，也不提起行政诉讼，又不履行处罚决定的，本机关将依法申请人民法院强制执行。</w:t>
      </w:r>
    </w:p>
    <w:p w:rsidR="006C1684" w:rsidRPr="006A7F53" w:rsidRDefault="006C1684" w:rsidP="006C1684">
      <w:pPr>
        <w:spacing w:line="360" w:lineRule="auto"/>
        <w:ind w:firstLine="645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6C1684" w:rsidRPr="006A7F53" w:rsidRDefault="006C1684" w:rsidP="006C1684">
      <w:pPr>
        <w:spacing w:line="360" w:lineRule="auto"/>
        <w:ind w:firstLine="645"/>
        <w:jc w:val="left"/>
        <w:rPr>
          <w:rFonts w:asciiTheme="majorEastAsia" w:eastAsiaTheme="majorEastAsia" w:hAnsiTheme="majorEastAsia" w:cs="宋体"/>
          <w:sz w:val="36"/>
          <w:szCs w:val="36"/>
        </w:rPr>
      </w:pPr>
    </w:p>
    <w:p w:rsidR="006C1684" w:rsidRPr="006A7F53" w:rsidRDefault="006C1684" w:rsidP="006C1684">
      <w:pPr>
        <w:spacing w:line="360" w:lineRule="auto"/>
        <w:ind w:firstLine="645"/>
        <w:jc w:val="left"/>
        <w:rPr>
          <w:rFonts w:asciiTheme="majorEastAsia" w:eastAsiaTheme="majorEastAsia" w:hAnsiTheme="majorEastAsia" w:cs="宋体"/>
          <w:sz w:val="36"/>
          <w:szCs w:val="36"/>
        </w:rPr>
      </w:pPr>
    </w:p>
    <w:p w:rsidR="006C1684" w:rsidRPr="006A7F53" w:rsidRDefault="006C1684" w:rsidP="006C1684">
      <w:pPr>
        <w:spacing w:line="360" w:lineRule="auto"/>
        <w:ind w:firstLine="645"/>
        <w:jc w:val="left"/>
        <w:rPr>
          <w:rFonts w:asciiTheme="majorEastAsia" w:eastAsiaTheme="majorEastAsia" w:hAnsiTheme="majorEastAsia" w:cs="宋体"/>
          <w:sz w:val="36"/>
          <w:szCs w:val="36"/>
        </w:rPr>
      </w:pPr>
    </w:p>
    <w:p w:rsidR="00076DA2" w:rsidRDefault="00076DA2" w:rsidP="00076DA2">
      <w:pPr>
        <w:spacing w:line="360" w:lineRule="auto"/>
        <w:ind w:firstLineChars="1350" w:firstLine="4860"/>
        <w:jc w:val="left"/>
        <w:rPr>
          <w:rFonts w:asciiTheme="majorEastAsia" w:eastAsiaTheme="majorEastAsia" w:hAnsiTheme="majorEastAsia" w:cs="宋体"/>
          <w:sz w:val="36"/>
          <w:szCs w:val="36"/>
        </w:rPr>
      </w:pPr>
    </w:p>
    <w:p w:rsidR="00076DA2" w:rsidRDefault="00076DA2" w:rsidP="00076DA2">
      <w:pPr>
        <w:spacing w:line="360" w:lineRule="auto"/>
        <w:ind w:firstLineChars="1350" w:firstLine="4860"/>
        <w:jc w:val="left"/>
        <w:rPr>
          <w:rFonts w:asciiTheme="majorEastAsia" w:eastAsiaTheme="majorEastAsia" w:hAnsiTheme="majorEastAsia" w:cs="宋体"/>
          <w:sz w:val="36"/>
          <w:szCs w:val="36"/>
        </w:rPr>
      </w:pPr>
    </w:p>
    <w:p w:rsidR="00076DA2" w:rsidRDefault="00076DA2" w:rsidP="00076DA2">
      <w:pPr>
        <w:spacing w:line="360" w:lineRule="auto"/>
        <w:ind w:firstLineChars="1350" w:firstLine="4860"/>
        <w:jc w:val="left"/>
        <w:rPr>
          <w:rFonts w:asciiTheme="majorEastAsia" w:eastAsiaTheme="majorEastAsia" w:hAnsiTheme="majorEastAsia" w:cs="宋体"/>
          <w:sz w:val="36"/>
          <w:szCs w:val="36"/>
        </w:rPr>
      </w:pPr>
    </w:p>
    <w:p w:rsidR="006C1684" w:rsidRPr="006A7F53" w:rsidRDefault="006C1684" w:rsidP="00076DA2">
      <w:pPr>
        <w:spacing w:line="360" w:lineRule="auto"/>
        <w:ind w:firstLineChars="1350" w:firstLine="4860"/>
        <w:jc w:val="left"/>
        <w:rPr>
          <w:rFonts w:asciiTheme="majorEastAsia" w:eastAsiaTheme="majorEastAsia" w:hAnsiTheme="majorEastAsia" w:cs="宋体"/>
          <w:sz w:val="36"/>
          <w:szCs w:val="36"/>
        </w:rPr>
      </w:pPr>
      <w:r w:rsidRPr="006A7F53">
        <w:rPr>
          <w:rFonts w:asciiTheme="majorEastAsia" w:eastAsiaTheme="majorEastAsia" w:hAnsiTheme="majorEastAsia" w:cs="宋体" w:hint="eastAsia"/>
          <w:sz w:val="36"/>
          <w:szCs w:val="36"/>
        </w:rPr>
        <w:t>2019年1月25日</w:t>
      </w:r>
    </w:p>
    <w:p w:rsidR="008109D0" w:rsidRDefault="008109D0"/>
    <w:sectPr w:rsidR="008109D0" w:rsidSect="00810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22" w:rsidRDefault="00A57A22" w:rsidP="004B6A9F">
      <w:r>
        <w:separator/>
      </w:r>
    </w:p>
  </w:endnote>
  <w:endnote w:type="continuationSeparator" w:id="0">
    <w:p w:rsidR="00A57A22" w:rsidRDefault="00A57A22" w:rsidP="004B6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22" w:rsidRDefault="00A57A22" w:rsidP="004B6A9F">
      <w:r>
        <w:separator/>
      </w:r>
    </w:p>
  </w:footnote>
  <w:footnote w:type="continuationSeparator" w:id="0">
    <w:p w:rsidR="00A57A22" w:rsidRDefault="00A57A22" w:rsidP="004B6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FC1306"/>
    <w:multiLevelType w:val="singleLevel"/>
    <w:tmpl w:val="D0FC130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3EE5D73"/>
    <w:multiLevelType w:val="singleLevel"/>
    <w:tmpl w:val="73EE5D7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684"/>
    <w:rsid w:val="00076DA2"/>
    <w:rsid w:val="0012674D"/>
    <w:rsid w:val="004B6A9F"/>
    <w:rsid w:val="006A7F53"/>
    <w:rsid w:val="006C1684"/>
    <w:rsid w:val="008109D0"/>
    <w:rsid w:val="00A57A22"/>
    <w:rsid w:val="00FE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1684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4B6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6A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6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6A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291</Words>
  <Characters>1664</Characters>
  <Application>Microsoft Office Word</Application>
  <DocSecurity>0</DocSecurity>
  <Lines>13</Lines>
  <Paragraphs>3</Paragraphs>
  <ScaleCrop>false</ScaleCrop>
  <Company>CHINA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2019-01-25T01:24:00Z</cp:lastPrinted>
  <dcterms:created xsi:type="dcterms:W3CDTF">2019-01-25T00:53:00Z</dcterms:created>
  <dcterms:modified xsi:type="dcterms:W3CDTF">2019-02-20T07:51:00Z</dcterms:modified>
</cp:coreProperties>
</file>