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许昌市节水型社会建设“十三五”规划建设目标</w:t>
      </w:r>
      <w:bookmarkEnd w:id="0"/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69"/>
        <w:gridCol w:w="1465"/>
        <w:gridCol w:w="1417"/>
        <w:gridCol w:w="1222"/>
        <w:gridCol w:w="1612"/>
        <w:gridCol w:w="1340"/>
        <w:gridCol w:w="1495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目标完成及预测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用水总量（亿m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农业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工业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城市生活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农田灌溉水有效利用系数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节灌率（%）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万元增加值用水量（m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/万元）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重复利用率（%）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供水管网漏损率（%）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节水器具普及率（%）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水功能区达标率（%）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非常规水利用量（万m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省下达十三五目标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10.694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0.700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70.2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16.53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61.3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93.4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100.0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目前完成情况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后三年指标预测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56785"/>
    <w:rsid w:val="7B356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2018-07-04T09:13:00Z</dcterms:created>
  <dc:creator>水之心1398239524</dc:creator>
  <cp:lastModifiedBy>水之心1398239524</cp:lastModifiedBy>
  <dcterms:modified xsi:type="dcterms:W3CDTF">2018-07-04T09:30:05Z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