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第一次会议08010257</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路明</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129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工商联</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豫辰药业有限公司董事长</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13903743299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关于加快实施我市医药产业创新驱动发展战略的提案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提出时间：2023年01月05日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区域经济</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
      </w:r>
    </w:p>
    <w:p>
      <w:pPr>
        <w:ind w:firstLine="480"/>
        <w:jc w:val="left"/>
        <w:rPr>
          <w:sz w:val="24"/>
        </w:rPr>
      </w:pPr>
      <w:r>
        <w:rPr>
          <w:sz w:val="24"/>
          <w:rFonts w:ascii="宋体, SimSun" w:eastAsia="宋体, SimSun" w:hAnsi="宋体, SimSun"/>
        </w:rPr>
        <w:t>生物医药是战略性新兴产业，也是许昌培育的重点产业。政府成立了生物医药产业专班，进行园区规划、招商引资、招才引智，壮大平台建设，促进产业向价值链高端升级。我市生物医药产业规模持续快速增长，门类齐全、功能完备的产业体系初步形成，一批生物产业集群成为引领区域发展的新引擎。规划布局了5个重点生物医药园区，以科技创新为引领，以核心技术突破、管理创新为切入点，深入实施创新驱动发展，带动高质量发展。但还存在创新能力不足，创新活力不够，创新机制不完善等问题。</w:t>
      </w:r>
    </w:p>
    <w:p>
      <w:pPr>
        <w:ind w:firstLine="480"/>
        <w:jc w:val="left"/>
        <w:rPr>
          <w:sz w:val="24"/>
        </w:rPr>
      </w:pPr>
      <w:r>
        <w:rPr>
          <w:sz w:val="24"/>
          <w:rFonts w:ascii="宋体, SimSun" w:eastAsia="宋体, SimSun" w:hAnsi="宋体, SimSun"/>
        </w:rPr>
        <w:t>就加快实施我市医药产业创新驱动发展战略、大力夯实生物医药产业创新基础，我提出建议如下：</w:t>
      </w:r>
    </w:p>
    <w:p>
      <w:pPr>
        <w:ind w:firstLine="480"/>
        <w:jc w:val="left"/>
        <w:rPr>
          <w:sz w:val="24"/>
        </w:rPr>
      </w:pPr>
      <w:r>
        <w:rPr>
          <w:sz w:val="24"/>
          <w:rFonts w:ascii="宋体, SimSun" w:eastAsia="宋体, SimSun" w:hAnsi="宋体, SimSun"/>
        </w:rPr>
        <w:t>一、加快提升生物医药技术创新能力</w:t>
      </w:r>
    </w:p>
    <w:p>
      <w:pPr>
        <w:ind w:firstLine="480"/>
        <w:jc w:val="left"/>
        <w:rPr>
          <w:sz w:val="24"/>
        </w:rPr>
      </w:pPr>
      <w:r>
        <w:rPr>
          <w:sz w:val="24"/>
          <w:rFonts w:ascii="宋体, SimSun" w:eastAsia="宋体, SimSun" w:hAnsi="宋体, SimSun"/>
        </w:rPr>
        <w:t>1.加强原创性、引领性基础研究</w:t>
      </w:r>
    </w:p>
    <w:p>
      <w:pPr>
        <w:ind w:firstLine="480"/>
        <w:jc w:val="left"/>
        <w:rPr>
          <w:sz w:val="24"/>
        </w:rPr>
      </w:pPr>
      <w:r>
        <w:rPr>
          <w:sz w:val="24"/>
          <w:rFonts w:ascii="宋体, SimSun" w:eastAsia="宋体, SimSun" w:hAnsi="宋体, SimSun"/>
        </w:rPr>
        <w:t>瞄准健康管理、重大疾病救治新药和仿制药创新、新发突发传染病防控和生物安全等前沿领域，实施市重大科技项目和重点研发计划。加快打造生物领域战略科技力量，积极凝聚大团队、集聚大资源、实施大项目、取得大突破。依托设施建设前沿交叉研究平台，加强设施运行开放和数据共享。</w:t>
      </w:r>
    </w:p>
    <w:p>
      <w:pPr>
        <w:ind w:firstLine="480"/>
        <w:jc w:val="left"/>
        <w:rPr>
          <w:sz w:val="24"/>
        </w:rPr>
      </w:pPr>
      <w:r>
        <w:rPr>
          <w:sz w:val="24"/>
          <w:rFonts w:ascii="宋体, SimSun" w:eastAsia="宋体, SimSun" w:hAnsi="宋体, SimSun"/>
        </w:rPr>
        <w:t>2.打好关键核心技术攻坚战</w:t>
      </w:r>
    </w:p>
    <w:p>
      <w:pPr>
        <w:ind w:firstLine="480"/>
        <w:jc w:val="left"/>
        <w:rPr>
          <w:sz w:val="24"/>
        </w:rPr>
      </w:pPr>
      <w:r>
        <w:rPr>
          <w:sz w:val="24"/>
          <w:rFonts w:ascii="宋体, SimSun" w:eastAsia="宋体, SimSun" w:hAnsi="宋体, SimSun"/>
        </w:rPr>
        <w:t>实行“揭榜挂帅”、“赛马”等制度，开展医药产业领域关键核心技术攻关，集中力量补齐底层技术、关键部件、共性基础技术和材料、基础软硬件等发展短板，加强供需协同，提高创新链整体效能。</w:t>
      </w:r>
    </w:p>
    <w:p>
      <w:pPr>
        <w:ind w:firstLine="480"/>
        <w:jc w:val="left"/>
        <w:rPr>
          <w:sz w:val="24"/>
        </w:rPr>
      </w:pPr>
      <w:r>
        <w:rPr>
          <w:sz w:val="24"/>
          <w:rFonts w:ascii="宋体, SimSun" w:eastAsia="宋体, SimSun" w:hAnsi="宋体, SimSun"/>
        </w:rPr>
        <w:t>3.开展前沿生物医药技术创新</w:t>
      </w:r>
    </w:p>
    <w:p>
      <w:pPr>
        <w:ind w:firstLine="480"/>
        <w:jc w:val="left"/>
        <w:rPr>
          <w:sz w:val="24"/>
        </w:rPr>
      </w:pPr>
      <w:r>
        <w:rPr>
          <w:sz w:val="24"/>
          <w:rFonts w:ascii="宋体, SimSun" w:eastAsia="宋体, SimSun" w:hAnsi="宋体, SimSun"/>
        </w:rPr>
        <w:t>推动合成生物学技术创新，突破研发设计、高通量筛选、精准调控等关键技术，有序推动在新药开发、疾病治疗、物质合成、等领域应用。强化产学研用协同联动，加快技术产品转化和临床应用，开展中医药治疗重大疾病作用机制原理研究等。</w:t>
      </w:r>
    </w:p>
    <w:p>
      <w:pPr>
        <w:ind w:firstLine="480"/>
        <w:jc w:val="left"/>
        <w:rPr>
          <w:sz w:val="24"/>
        </w:rPr>
      </w:pPr>
      <w:r>
        <w:rPr>
          <w:sz w:val="24"/>
          <w:rFonts w:ascii="宋体, SimSun" w:eastAsia="宋体, SimSun" w:hAnsi="宋体, SimSun"/>
        </w:rPr>
        <w:t>二、培育壮大竞争力强的创新主体</w:t>
      </w:r>
    </w:p>
    <w:p>
      <w:pPr>
        <w:ind w:firstLine="480"/>
        <w:jc w:val="left"/>
        <w:rPr>
          <w:sz w:val="24"/>
        </w:rPr>
      </w:pPr>
      <w:r>
        <w:rPr>
          <w:sz w:val="24"/>
          <w:rFonts w:ascii="宋体, SimSun" w:eastAsia="宋体, SimSun" w:hAnsi="宋体, SimSun"/>
        </w:rPr>
        <w:t>新时代以来，党中央提出了新发展理念和创新驱动、科教兴国、人才强国战略，强化科技自立自强。全市上下加大创新研发投入，许多领域实现了关键技术突破，部分领域实现了由追赶到领跑的跨跃。</w:t>
      </w:r>
    </w:p>
    <w:p>
      <w:pPr>
        <w:ind w:firstLine="480"/>
        <w:jc w:val="left"/>
        <w:rPr>
          <w:sz w:val="24"/>
        </w:rPr>
      </w:pPr>
      <w:r>
        <w:rPr>
          <w:sz w:val="24"/>
          <w:rFonts w:ascii="宋体, SimSun" w:eastAsia="宋体, SimSun" w:hAnsi="宋体, SimSun"/>
        </w:rPr>
        <w:t>根据国家新发展战略，省、市、区出台了多项生物医药高质量发展规划和实施方案，积极承接生物医药产业转移，着力提升创新能力，大力引导科技成果转化和推动产业链、供应链、创新链耦合，加快企业绿色化、数字化、智能化转型升级。具体做法：</w:t>
      </w:r>
    </w:p>
    <w:p>
      <w:pPr>
        <w:ind w:firstLine="480"/>
        <w:jc w:val="left"/>
        <w:rPr>
          <w:sz w:val="24"/>
        </w:rPr>
      </w:pPr>
      <w:r>
        <w:rPr>
          <w:sz w:val="24"/>
          <w:rFonts w:ascii="宋体, SimSun" w:eastAsia="宋体, SimSun" w:hAnsi="宋体, SimSun"/>
        </w:rPr>
        <w:t>1.强化企业创新主体地位</w:t>
      </w:r>
    </w:p>
    <w:p>
      <w:pPr>
        <w:ind w:firstLine="480"/>
        <w:jc w:val="left"/>
        <w:rPr>
          <w:sz w:val="24"/>
        </w:rPr>
      </w:pPr>
      <w:r>
        <w:rPr>
          <w:sz w:val="24"/>
          <w:rFonts w:ascii="宋体, SimSun" w:eastAsia="宋体, SimSun" w:hAnsi="宋体, SimSun"/>
        </w:rPr>
        <w:t>发挥生物医药领域龙头企业引领支撑作用，引导大企业向产业链上下游开放科技创新、供应链、金融服务等资源，推动与中小企业融通创新。鼓励企业深耕细分领域，培育具有竞争力的省市单项冠军。支持龙头企业牵头组建创新联合体，承建产业创新中心、工程研究中心、技术创新中心、制造业创新中心等创新平台。</w:t>
      </w:r>
    </w:p>
    <w:p>
      <w:pPr>
        <w:ind w:firstLine="480"/>
        <w:jc w:val="left"/>
        <w:rPr>
          <w:sz w:val="24"/>
        </w:rPr>
      </w:pPr>
      <w:r>
        <w:rPr>
          <w:sz w:val="24"/>
          <w:rFonts w:ascii="宋体, SimSun" w:eastAsia="宋体, SimSun" w:hAnsi="宋体, SimSun"/>
        </w:rPr>
        <w:t>2.发展壮大新型创新力量</w:t>
      </w:r>
    </w:p>
    <w:p>
      <w:pPr>
        <w:ind w:firstLine="480"/>
        <w:jc w:val="left"/>
        <w:rPr>
          <w:sz w:val="24"/>
        </w:rPr>
      </w:pPr>
      <w:r>
        <w:rPr>
          <w:sz w:val="24"/>
          <w:rFonts w:ascii="宋体, SimSun" w:eastAsia="宋体, SimSun" w:hAnsi="宋体, SimSun"/>
        </w:rPr>
        <w:t>在高端科研仪器、新药创制、生物制造等前沿领域，支持高校和科研机构与生产企业共同合作开展产品技术创新和示范验证，如抗新冠新药的研制和产业化；开展新业态如CDMO业务，为客户设计及优化产品技术路线，开展产业化合作，实现产业链、创新链、价值链深度耦合。鼓励建设省、市行业研究院和创新发展联盟，健全完善产品和服务的标准体系，提高行业发展质量和效率。</w:t>
      </w:r>
    </w:p>
    <w:p>
      <w:pPr>
        <w:ind w:firstLine="480"/>
        <w:jc w:val="left"/>
        <w:rPr>
          <w:sz w:val="24"/>
        </w:rPr>
      </w:pPr>
      <w:r>
        <w:rPr>
          <w:sz w:val="24"/>
          <w:rFonts w:ascii="宋体, SimSun" w:eastAsia="宋体, SimSun" w:hAnsi="宋体, SimSun"/>
        </w:rPr>
        <w:t>3.加大政策支持力度</w:t>
      </w:r>
    </w:p>
    <w:p>
      <w:pPr>
        <w:ind w:firstLine="480"/>
        <w:jc w:val="left"/>
        <w:rPr>
          <w:sz w:val="24"/>
        </w:rPr>
      </w:pPr>
      <w:r>
        <w:rPr>
          <w:sz w:val="24"/>
          <w:rFonts w:ascii="宋体, SimSun" w:eastAsia="宋体, SimSun" w:hAnsi="宋体, SimSun"/>
        </w:rPr>
        <w:t>“十四五”时期，市委、市政府号召全市着力打造“五个强市”，特别是坚持创新驱动发展，全面塑造发展新动能新优势，打造“创新强市”。围绕科技创新领域加大产业支持力度，加快推进生物医药科技创新和产业化应用，加快突破生物医药发展瓶颈，提升产业链供应链安全稳定水平。</w:t>
      </w:r>
    </w:p>
    <w:p>
      <w:pPr>
        <w:ind w:firstLine="480"/>
        <w:jc w:val="left"/>
        <w:rPr>
          <w:sz w:val="24"/>
        </w:rPr>
      </w:pPr>
      <w:r>
        <w:rPr>
          <w:sz w:val="24"/>
          <w:rFonts w:ascii="宋体, SimSun" w:eastAsia="宋体, SimSun" w:hAnsi="宋体, SimSun"/>
        </w:rPr>
        <w:t>新征程上，需要市委、市政府的高度重视和社会各界的共同努力，进一步健全新型生物医药体制，强化许昌战略科技力量，优化配置创新资源，提升许昌生物医药创新体系整体效能。加快创新动力蓄积，加快创新载体建设，提升创新能力，优化创新生态，大力推动“创新强市”建设，将二十大擘画的宏伟蓝图变成美好现实！</w:t>
      </w:r>
    </w:p>
    <w:p>
      <w:pPr>
        <w:rPr>
          <w:sz w:val="24"/>
        </w:rPr>
      </w:pPr>
      <w:r>
        <w:rPr>
          <w:sz w:val="24"/>
          <w:rFonts w:ascii="宋体, SimSun" w:eastAsia="宋体, SimSun" w:hAnsi="宋体, SimSun"/>
        </w:rPr>
        <w:t> </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主办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协办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市科技局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