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 件1</w:t>
      </w:r>
    </w:p>
    <w:p>
      <w:pPr>
        <w:spacing w:line="560" w:lineRule="exact"/>
        <w:rPr>
          <w:rFonts w:hint="eastAsia" w:ascii="黑体" w:hAnsi="黑体" w:eastAsia="黑体"/>
          <w:sz w:val="32"/>
          <w:szCs w:val="32"/>
        </w:rPr>
      </w:pP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粮食仓储及生产安全主要相关法规政策制度</w:t>
      </w:r>
    </w:p>
    <w:p>
      <w:pPr>
        <w:spacing w:line="560" w:lineRule="exact"/>
        <w:ind w:firstLine="880" w:firstLineChars="20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和标准规范规程目录</w:t>
      </w:r>
    </w:p>
    <w:p>
      <w:pPr>
        <w:spacing w:line="560" w:lineRule="exact"/>
        <w:ind w:firstLine="640" w:firstLineChars="200"/>
        <w:jc w:val="center"/>
        <w:rPr>
          <w:rFonts w:hint="eastAsia" w:ascii="方正大标宋简体" w:hAnsi="方正大标宋简体" w:eastAsia="方正大标宋简体" w:cs="方正大标宋简体"/>
          <w:sz w:val="32"/>
          <w:szCs w:val="32"/>
        </w:rPr>
      </w:pPr>
    </w:p>
    <w:p>
      <w:pPr>
        <w:spacing w:line="560" w:lineRule="exact"/>
        <w:rPr>
          <w:rFonts w:hint="eastAsia" w:ascii="仿宋_GB2312" w:hAnsi="仿宋" w:eastAsia="仿宋_GB2312" w:cs="仿宋"/>
          <w:sz w:val="32"/>
          <w:szCs w:val="32"/>
        </w:rPr>
      </w:pPr>
      <w:r>
        <w:rPr>
          <w:rFonts w:hint="eastAsia" w:ascii="仿宋" w:hAnsi="仿宋" w:eastAsia="仿宋" w:cs="仿宋"/>
          <w:sz w:val="32"/>
          <w:szCs w:val="32"/>
        </w:rPr>
        <w:t>　　</w:t>
      </w:r>
      <w:r>
        <w:rPr>
          <w:rFonts w:hint="eastAsia" w:ascii="仿宋_GB2312" w:hAnsi="仿宋" w:eastAsia="仿宋_GB2312" w:cs="仿宋"/>
          <w:sz w:val="32"/>
          <w:szCs w:val="32"/>
        </w:rPr>
        <w:t>1、粮油仓储管理办法（国家发展和改革委员会第5号令 2009年12月29日）</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2、国家粮食局关于印发《粮油储存安全责任暂行规定》的通知（国粮储〔2016〕136号）</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3、国家粮食局关于印发《粮油安全储存守则》和《粮油安全生产守则》的通知（国粮储〔2016〕234号）</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4、粮油仓储企业仓房（油罐）编号暂行办法（国家粮食局公告 2010年第1号）</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5、国家粮食局关于印发《库存粮油货位卡》等粮油仓储管理常用表格表样的通知（国粮展〔2010〕11号）</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6、</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rPr>
        <w:t>粮食局关于印发</w:t>
      </w:r>
      <w:r>
        <w:rPr>
          <w:rFonts w:hint="eastAsia" w:ascii="仿宋_GB2312" w:hAnsi="仿宋" w:eastAsia="仿宋_GB2312" w:cs="仿宋"/>
          <w:sz w:val="32"/>
          <w:szCs w:val="32"/>
          <w:lang w:eastAsia="zh-CN"/>
        </w:rPr>
        <w:t>许昌市</w:t>
      </w:r>
      <w:r>
        <w:rPr>
          <w:rFonts w:hint="eastAsia" w:ascii="仿宋_GB2312" w:hAnsi="仿宋" w:eastAsia="仿宋_GB2312" w:cs="仿宋"/>
          <w:sz w:val="32"/>
          <w:szCs w:val="32"/>
        </w:rPr>
        <w:t>粮油仓储企业规范化管理暂行办法的通知 （豫粮〔2009〕28号）</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7、</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rPr>
        <w:t>粮食局关于认真贯彻落实新《粮油仓储管理办法》的通知 （豫粮〔2010〕7号）</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8、</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rPr>
        <w:t>粮食局办公室关于认真贯彻落实《粮油仓储企业仓房（油罐）编号暂行办法》的通知 （豫粮办〔2010〕12号）</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9、</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rPr>
        <w:t>粮食局关于印发《</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rPr>
        <w:t>粮油仓储单位备案管理</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暂行办法》的通知 （豫粮文〔2011〕14号）</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10、</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rPr>
        <w:t>粮食局办公室关于进一步做好粮油仓储单位备案管理工作的通知 （豫粮办〔2012〕49号）</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11、</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rPr>
        <w:t>粮食局关于印发《</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rPr>
        <w:t>粮食行业储粮化学药剂管理办法》的通知 （豫粮文〔2012〕185号）</w:t>
      </w:r>
    </w:p>
    <w:p>
      <w:pPr>
        <w:spacing w:line="560" w:lineRule="exact"/>
        <w:ind w:firstLine="647"/>
        <w:rPr>
          <w:rFonts w:hint="eastAsia" w:ascii="仿宋_GB2312" w:hAnsi="仿宋" w:eastAsia="仿宋_GB2312" w:cs="仿宋"/>
          <w:sz w:val="32"/>
          <w:szCs w:val="32"/>
        </w:rPr>
      </w:pPr>
      <w:r>
        <w:rPr>
          <w:rFonts w:hint="eastAsia" w:ascii="仿宋_GB2312" w:hAnsi="仿宋" w:eastAsia="仿宋_GB2312" w:cs="仿宋"/>
          <w:sz w:val="32"/>
          <w:szCs w:val="32"/>
        </w:rPr>
        <w:t>12、</w:t>
      </w:r>
      <w:r>
        <w:rPr>
          <w:rFonts w:hint="eastAsia" w:ascii="仿宋_GB2312" w:hAnsi="仿宋" w:eastAsia="仿宋_GB2312" w:cs="仿宋"/>
          <w:sz w:val="32"/>
          <w:szCs w:val="32"/>
          <w:lang w:eastAsia="zh-CN"/>
        </w:rPr>
        <w:t>河南省</w:t>
      </w:r>
      <w:r>
        <w:rPr>
          <w:rFonts w:hint="eastAsia" w:ascii="仿宋_GB2312" w:hAnsi="仿宋" w:eastAsia="仿宋_GB2312" w:cs="仿宋"/>
          <w:sz w:val="32"/>
          <w:szCs w:val="32"/>
        </w:rPr>
        <w:t>粮食和物资储备局办公室关于加强粮油仓储单位备案管理工作的通知  （豫粮办〔2020〕134号）</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13、粮食仓库建设标准 建标172-2016</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14、小麦国家标准  GB1351-2008</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15、玉米国家标准  GB1353-2018</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16、稻谷国家标准  GB1350/2009</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17、粮油储藏技术规范  GB/T 29890-2013</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18、储粮化学药剂管理和使用规范  LS 1212-2008</w:t>
      </w:r>
    </w:p>
    <w:p>
      <w:pPr>
        <w:spacing w:line="560" w:lineRule="exact"/>
        <w:rPr>
          <w:rFonts w:hint="eastAsia" w:ascii="仿宋_GB2312" w:hAnsi="仿宋" w:eastAsia="仿宋_GB2312" w:cs="仿宋"/>
          <w:sz w:val="32"/>
          <w:szCs w:val="32"/>
        </w:rPr>
      </w:pPr>
      <w:bookmarkStart w:id="0" w:name="_Toc16107"/>
      <w:bookmarkStart w:id="1" w:name="_Toc14353"/>
      <w:bookmarkStart w:id="2" w:name="_Toc5767"/>
      <w:r>
        <w:rPr>
          <w:rFonts w:hint="eastAsia" w:ascii="仿宋_GB2312" w:hAnsi="仿宋" w:eastAsia="仿宋_GB2312" w:cs="仿宋"/>
          <w:sz w:val="32"/>
          <w:szCs w:val="32"/>
        </w:rPr>
        <w:t>　　19、储粮机械通风技术规程</w:t>
      </w:r>
      <w:bookmarkEnd w:id="0"/>
      <w:bookmarkEnd w:id="1"/>
      <w:bookmarkEnd w:id="2"/>
      <w:r>
        <w:rPr>
          <w:rFonts w:hint="eastAsia" w:ascii="仿宋_GB2312" w:hAnsi="仿宋" w:eastAsia="仿宋_GB2312" w:cs="仿宋"/>
          <w:sz w:val="32"/>
          <w:szCs w:val="32"/>
        </w:rPr>
        <w:t xml:space="preserve">  LS/T 1202-2002</w:t>
      </w:r>
    </w:p>
    <w:p>
      <w:pPr>
        <w:spacing w:line="560" w:lineRule="exact"/>
        <w:rPr>
          <w:rFonts w:hint="eastAsia" w:ascii="仿宋_GB2312" w:hAnsi="仿宋" w:eastAsia="仿宋_GB2312" w:cs="仿宋"/>
          <w:sz w:val="32"/>
          <w:szCs w:val="32"/>
        </w:rPr>
      </w:pPr>
      <w:bookmarkStart w:id="3" w:name="_Toc16631"/>
      <w:bookmarkStart w:id="4" w:name="_Toc2599"/>
      <w:bookmarkStart w:id="5" w:name="_Toc8429"/>
      <w:r>
        <w:rPr>
          <w:rFonts w:hint="eastAsia" w:ascii="仿宋_GB2312" w:hAnsi="仿宋" w:eastAsia="仿宋_GB2312" w:cs="仿宋"/>
          <w:sz w:val="32"/>
          <w:szCs w:val="32"/>
        </w:rPr>
        <w:t>　　20、粮食仓库安全操作规程</w:t>
      </w:r>
      <w:bookmarkEnd w:id="3"/>
      <w:bookmarkEnd w:id="4"/>
      <w:bookmarkEnd w:id="5"/>
      <w:r>
        <w:rPr>
          <w:rFonts w:hint="eastAsia" w:ascii="仿宋_GB2312" w:hAnsi="仿宋" w:eastAsia="仿宋_GB2312" w:cs="仿宋"/>
          <w:sz w:val="32"/>
          <w:szCs w:val="32"/>
        </w:rPr>
        <w:t xml:space="preserve">  LS 1206-2005</w:t>
      </w:r>
    </w:p>
    <w:p>
      <w:pPr>
        <w:spacing w:line="560" w:lineRule="exact"/>
        <w:ind w:firstLine="640"/>
        <w:rPr>
          <w:rFonts w:hint="eastAsia" w:ascii="仿宋" w:hAnsi="仿宋" w:eastAsia="仿宋" w:cs="仿宋"/>
          <w:sz w:val="32"/>
          <w:szCs w:val="32"/>
        </w:rPr>
      </w:pPr>
      <w:r>
        <w:rPr>
          <w:rFonts w:hint="eastAsia" w:ascii="仿宋_GB2312" w:hAnsi="仿宋" w:eastAsia="仿宋_GB2312" w:cs="仿宋"/>
          <w:sz w:val="32"/>
          <w:szCs w:val="32"/>
        </w:rPr>
        <w:t>21、磷化氢熏蒸技术规程    LS/T 1201-2020</w:t>
      </w:r>
      <w:r>
        <w:rPr>
          <w:rFonts w:hint="eastAsia" w:ascii="仿宋" w:hAnsi="仿宋" w:eastAsia="仿宋" w:cs="仿宋"/>
          <w:sz w:val="32"/>
          <w:szCs w:val="32"/>
        </w:rPr>
        <w:t>　</w:t>
      </w:r>
    </w:p>
    <w:p>
      <w:pPr>
        <w:spacing w:line="540" w:lineRule="exact"/>
        <w:ind w:left="640"/>
        <w:rPr>
          <w:rFonts w:hint="eastAsia" w:ascii="仿宋" w:hAnsi="仿宋" w:eastAsia="仿宋" w:cs="仿宋"/>
          <w:sz w:val="36"/>
          <w:szCs w:val="36"/>
        </w:rPr>
      </w:pPr>
    </w:p>
    <w:p>
      <w:pPr>
        <w:spacing w:line="560" w:lineRule="exact"/>
        <w:jc w:val="center"/>
        <w:rPr>
          <w:rFonts w:hint="eastAsia" w:ascii="方正大标宋简体" w:hAnsi="方正大标宋简体" w:eastAsia="方正大标宋简体" w:cs="方正大标宋简体"/>
          <w:sz w:val="44"/>
          <w:szCs w:val="44"/>
        </w:rPr>
      </w:pPr>
    </w:p>
    <w:p>
      <w:pPr>
        <w:spacing w:line="560" w:lineRule="exact"/>
        <w:ind w:firstLine="640"/>
        <w:jc w:val="left"/>
        <w:rPr>
          <w:rFonts w:hint="eastAsia" w:ascii="仿宋_GB2312" w:hAnsi="仿宋" w:eastAsia="仿宋_GB2312" w:cs="仿宋"/>
          <w:sz w:val="32"/>
          <w:szCs w:val="32"/>
        </w:rPr>
      </w:pPr>
    </w:p>
    <w:p>
      <w:pPr>
        <w:spacing w:line="560" w:lineRule="exact"/>
        <w:ind w:firstLine="640"/>
        <w:jc w:val="left"/>
        <w:rPr>
          <w:rFonts w:hint="eastAsia" w:ascii="仿宋_GB2312" w:hAnsi="仿宋" w:eastAsia="仿宋_GB2312" w:cs="仿宋"/>
          <w:sz w:val="32"/>
          <w:szCs w:val="32"/>
        </w:rPr>
      </w:pPr>
    </w:p>
    <w:p>
      <w:pPr>
        <w:spacing w:line="560" w:lineRule="exact"/>
        <w:ind w:firstLine="640"/>
        <w:jc w:val="left"/>
        <w:rPr>
          <w:rFonts w:hint="eastAsia" w:ascii="仿宋_GB2312" w:hAnsi="仿宋" w:eastAsia="仿宋_GB2312" w:cs="仿宋"/>
          <w:sz w:val="32"/>
          <w:szCs w:val="32"/>
        </w:rPr>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21C42"/>
    <w:rsid w:val="5DA2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2021-11-25T01:26:00Z</dcterms:created>
  <dc:creator>郭小曦</dc:creator>
  <cp:lastModifiedBy>郭小曦</cp:lastModifiedBy>
  <dcterms:modified xsi:type="dcterms:W3CDTF">2021-11-25T01:26:45Z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1812AD0A7C1741C792C6F328CC6A5D14</vt:lpwstr>
  </property>
</Properties>
</file>