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1543"/>
        <w:gridCol w:w="1544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  <w:t>许昌市预算单位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采购询价单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49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按照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要求或者超过规定报送时间将被取消投标资格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31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0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1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10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  <w:t>许昌市电子信息领域“两新”项目设备现场核验评审服务询价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493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18时00分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前将报价单密封报至许昌市发展和改革委员会。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询价人：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许昌市发展和改革委员会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报价人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1200" w:firstLineChars="500"/>
              <w:jc w:val="both"/>
              <w:textAlignment w:val="baseline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月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5AF8"/>
    <w:rsid w:val="058C34DC"/>
    <w:rsid w:val="06504A65"/>
    <w:rsid w:val="189514F5"/>
    <w:rsid w:val="2448622D"/>
    <w:rsid w:val="245218B9"/>
    <w:rsid w:val="25BF32D0"/>
    <w:rsid w:val="26624756"/>
    <w:rsid w:val="28C21E3E"/>
    <w:rsid w:val="2B7E7FA5"/>
    <w:rsid w:val="2EBC3C59"/>
    <w:rsid w:val="392F1E17"/>
    <w:rsid w:val="3E555300"/>
    <w:rsid w:val="416C01D2"/>
    <w:rsid w:val="4CA42444"/>
    <w:rsid w:val="5A404363"/>
    <w:rsid w:val="5A562537"/>
    <w:rsid w:val="6AD52C3F"/>
    <w:rsid w:val="72FE781E"/>
    <w:rsid w:val="78134F9F"/>
    <w:rsid w:val="78D76198"/>
    <w:rsid w:val="7AD0047F"/>
    <w:rsid w:val="7C574176"/>
    <w:rsid w:val="7DE356FD"/>
    <w:rsid w:val="BF57F42C"/>
    <w:rsid w:val="F7DBA425"/>
    <w:rsid w:val="F7DFF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 Char"/>
    <w:basedOn w:val="7"/>
    <w:link w:val="3"/>
    <w:qFormat/>
    <w:uiPriority w:val="99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2019-01-29T00:31:00Z</dcterms:created>
  <dc:creator>Administrator</dc:creator>
  <cp:lastModifiedBy>huanghe</cp:lastModifiedBy>
  <cp:lastPrinted>2019-09-26T09:48:00Z</cp:lastPrinted>
  <dcterms:modified xsi:type="dcterms:W3CDTF">2026-06-01T16:33:34Z</dcterms:modified>
  <dc:title>2019年许昌市省级企业技术中心第三方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