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许昌市公共安全应急联动中心暨公安情指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一体化平台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项目可行性研究报告评审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18时00分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189514F5"/>
    <w:rsid w:val="2448622D"/>
    <w:rsid w:val="245218B9"/>
    <w:rsid w:val="26624756"/>
    <w:rsid w:val="28C21E3E"/>
    <w:rsid w:val="2B7E7FA5"/>
    <w:rsid w:val="2EBC3C59"/>
    <w:rsid w:val="392F1E17"/>
    <w:rsid w:val="3E555300"/>
    <w:rsid w:val="416C01D2"/>
    <w:rsid w:val="4CA42444"/>
    <w:rsid w:val="5A404363"/>
    <w:rsid w:val="5A562537"/>
    <w:rsid w:val="6AD52C3F"/>
    <w:rsid w:val="72FE781E"/>
    <w:rsid w:val="78134F9F"/>
    <w:rsid w:val="78D76198"/>
    <w:rsid w:val="7AD0047F"/>
    <w:rsid w:val="7C574176"/>
    <w:rsid w:val="7DE356FD"/>
    <w:rsid w:val="F7DBA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2019-01-28T08:31:00Z</dcterms:created>
  <dc:creator>Administrator</dc:creator>
  <cp:lastModifiedBy>huanghe</cp:lastModifiedBy>
  <cp:lastPrinted>2019-09-25T17:48:00Z</cp:lastPrinted>
  <dcterms:modified xsi:type="dcterms:W3CDTF">2024-12-03T15:24:40Z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